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EC894" w14:textId="77777777" w:rsidR="001315E2" w:rsidRPr="00A74664" w:rsidRDefault="001315E2" w:rsidP="001315E2">
      <w:pPr>
        <w:spacing w:line="240" w:lineRule="auto"/>
        <w:rPr>
          <w:rFonts w:ascii="Open Sans" w:hAnsi="Open Sans" w:cs="Open Sans"/>
          <w:b/>
          <w:color w:val="365F91" w:themeColor="accent1" w:themeShade="BF"/>
          <w:sz w:val="24"/>
          <w:szCs w:val="24"/>
        </w:rPr>
      </w:pPr>
      <w:r w:rsidRPr="00A74664">
        <w:rPr>
          <w:rFonts w:ascii="Open Sans" w:hAnsi="Open Sans" w:cs="Open Sans"/>
          <w:b/>
          <w:noProof/>
          <w:color w:val="365F91" w:themeColor="accent1" w:themeShade="BF"/>
          <w:sz w:val="24"/>
          <w:szCs w:val="24"/>
        </w:rPr>
        <w:drawing>
          <wp:inline distT="0" distB="0" distL="0" distR="0" wp14:anchorId="714FA445" wp14:editId="04A41841">
            <wp:extent cx="2068709" cy="752475"/>
            <wp:effectExtent l="0" t="0" r="0" b="0"/>
            <wp:docPr id="1770398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98248" name="Picture 1770398248"/>
                    <pic:cNvPicPr/>
                  </pic:nvPicPr>
                  <pic:blipFill>
                    <a:blip r:embed="rId9"/>
                    <a:stretch>
                      <a:fillRect/>
                    </a:stretch>
                  </pic:blipFill>
                  <pic:spPr>
                    <a:xfrm>
                      <a:off x="0" y="0"/>
                      <a:ext cx="2073682" cy="754284"/>
                    </a:xfrm>
                    <a:prstGeom prst="rect">
                      <a:avLst/>
                    </a:prstGeom>
                  </pic:spPr>
                </pic:pic>
              </a:graphicData>
            </a:graphic>
          </wp:inline>
        </w:drawing>
      </w:r>
    </w:p>
    <w:p w14:paraId="66FA72D1" w14:textId="264316CF"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b/>
          <w:color w:val="365F91" w:themeColor="accent1" w:themeShade="BF"/>
          <w:sz w:val="24"/>
          <w:szCs w:val="24"/>
        </w:rPr>
        <w:t>Job title:</w:t>
      </w:r>
      <w:r w:rsidRPr="00A74664">
        <w:rPr>
          <w:rFonts w:ascii="Open Sans" w:hAnsi="Open Sans" w:cs="Open Sans"/>
          <w:color w:val="365F91" w:themeColor="accent1" w:themeShade="BF"/>
          <w:sz w:val="24"/>
          <w:szCs w:val="24"/>
        </w:rPr>
        <w:t xml:space="preserve"> Clerk to the Board of Trustees</w:t>
      </w:r>
    </w:p>
    <w:p w14:paraId="3113A174"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b/>
          <w:color w:val="365F91" w:themeColor="accent1" w:themeShade="BF"/>
          <w:sz w:val="24"/>
          <w:szCs w:val="24"/>
        </w:rPr>
        <w:t>Location:</w:t>
      </w:r>
      <w:r w:rsidRPr="00A74664">
        <w:rPr>
          <w:rFonts w:ascii="Open Sans" w:hAnsi="Open Sans" w:cs="Open Sans"/>
          <w:color w:val="365F91" w:themeColor="accent1" w:themeShade="BF"/>
          <w:sz w:val="24"/>
          <w:szCs w:val="24"/>
        </w:rPr>
        <w:t xml:space="preserve"> Sudbury, Suffolk (office-based with some home working)</w:t>
      </w:r>
    </w:p>
    <w:p w14:paraId="5925BDB3"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b/>
          <w:color w:val="365F91" w:themeColor="accent1" w:themeShade="BF"/>
          <w:sz w:val="24"/>
          <w:szCs w:val="24"/>
        </w:rPr>
        <w:t>Contract:</w:t>
      </w:r>
      <w:r w:rsidRPr="00A74664">
        <w:rPr>
          <w:rFonts w:ascii="Open Sans" w:hAnsi="Open Sans" w:cs="Open Sans"/>
          <w:color w:val="365F91" w:themeColor="accent1" w:themeShade="BF"/>
          <w:sz w:val="24"/>
          <w:szCs w:val="24"/>
        </w:rPr>
        <w:t xml:space="preserve"> Permanent</w:t>
      </w:r>
    </w:p>
    <w:p w14:paraId="17EB5EB6" w14:textId="2164250E"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b/>
          <w:color w:val="365F91" w:themeColor="accent1" w:themeShade="BF"/>
          <w:sz w:val="24"/>
          <w:szCs w:val="24"/>
        </w:rPr>
        <w:t>Hours:</w:t>
      </w:r>
      <w:r w:rsidRPr="00A74664">
        <w:rPr>
          <w:rFonts w:ascii="Open Sans" w:hAnsi="Open Sans" w:cs="Open Sans"/>
          <w:color w:val="365F91" w:themeColor="accent1" w:themeShade="BF"/>
          <w:sz w:val="24"/>
          <w:szCs w:val="24"/>
        </w:rPr>
        <w:t xml:space="preserve"> Approximately 4</w:t>
      </w:r>
      <w:r w:rsidR="002271E9">
        <w:rPr>
          <w:rFonts w:ascii="Open Sans" w:hAnsi="Open Sans" w:cs="Open Sans"/>
          <w:color w:val="365F91" w:themeColor="accent1" w:themeShade="BF"/>
          <w:sz w:val="24"/>
          <w:szCs w:val="24"/>
        </w:rPr>
        <w:t xml:space="preserve">-6 </w:t>
      </w:r>
      <w:r w:rsidRPr="00A74664">
        <w:rPr>
          <w:rFonts w:ascii="Open Sans" w:hAnsi="Open Sans" w:cs="Open Sans"/>
          <w:color w:val="365F91" w:themeColor="accent1" w:themeShade="BF"/>
          <w:sz w:val="24"/>
          <w:szCs w:val="24"/>
        </w:rPr>
        <w:t>hours per week (flexible)</w:t>
      </w:r>
    </w:p>
    <w:p w14:paraId="3B9D280F" w14:textId="1D6C1D10"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b/>
          <w:color w:val="365F91" w:themeColor="accent1" w:themeShade="BF"/>
          <w:sz w:val="24"/>
          <w:szCs w:val="24"/>
        </w:rPr>
        <w:t>Salary:</w:t>
      </w:r>
      <w:r w:rsidRPr="00A74664">
        <w:rPr>
          <w:rFonts w:ascii="Open Sans" w:hAnsi="Open Sans" w:cs="Open Sans"/>
          <w:color w:val="365F91" w:themeColor="accent1" w:themeShade="BF"/>
          <w:sz w:val="24"/>
          <w:szCs w:val="24"/>
        </w:rPr>
        <w:t xml:space="preserve"> </w:t>
      </w:r>
      <w:r w:rsidR="00A74664" w:rsidRPr="00A74664">
        <w:rPr>
          <w:rFonts w:ascii="Open Sans" w:hAnsi="Open Sans" w:cs="Open Sans"/>
          <w:color w:val="365F91" w:themeColor="accent1" w:themeShade="BF"/>
          <w:sz w:val="24"/>
          <w:szCs w:val="24"/>
        </w:rPr>
        <w:t>£15 per hour</w:t>
      </w:r>
    </w:p>
    <w:p w14:paraId="1CC43FA8" w14:textId="6CB64705" w:rsidR="001315E2" w:rsidRPr="00A74664" w:rsidRDefault="00000000" w:rsidP="001315E2">
      <w:pPr>
        <w:rPr>
          <w:rFonts w:ascii="Open Sans" w:hAnsi="Open Sans" w:cs="Open Sans"/>
          <w:color w:val="365F91" w:themeColor="accent1" w:themeShade="BF"/>
          <w:sz w:val="24"/>
          <w:szCs w:val="24"/>
        </w:rPr>
      </w:pPr>
      <w:r w:rsidRPr="00A74664">
        <w:rPr>
          <w:rFonts w:ascii="Open Sans" w:hAnsi="Open Sans" w:cs="Open Sans"/>
          <w:b/>
          <w:color w:val="365F91" w:themeColor="accent1" w:themeShade="BF"/>
          <w:sz w:val="24"/>
          <w:szCs w:val="24"/>
        </w:rPr>
        <w:t>Apply by:</w:t>
      </w:r>
      <w:r w:rsidRPr="00A74664">
        <w:rPr>
          <w:rFonts w:ascii="Open Sans" w:hAnsi="Open Sans" w:cs="Open Sans"/>
          <w:color w:val="365F91" w:themeColor="accent1" w:themeShade="BF"/>
          <w:sz w:val="24"/>
          <w:szCs w:val="24"/>
        </w:rPr>
        <w:t xml:space="preserve"> </w:t>
      </w:r>
      <w:r w:rsidR="001315E2" w:rsidRPr="00A74664">
        <w:rPr>
          <w:rFonts w:ascii="Open Sans" w:hAnsi="Open Sans" w:cs="Open Sans"/>
          <w:color w:val="365F91" w:themeColor="accent1" w:themeShade="BF"/>
          <w:sz w:val="24"/>
          <w:szCs w:val="24"/>
        </w:rPr>
        <w:t xml:space="preserve">12pm </w:t>
      </w:r>
      <w:r w:rsidR="0050693B">
        <w:rPr>
          <w:rFonts w:ascii="Open Sans" w:hAnsi="Open Sans" w:cs="Open Sans"/>
          <w:color w:val="365F91" w:themeColor="accent1" w:themeShade="BF"/>
          <w:sz w:val="24"/>
          <w:szCs w:val="24"/>
        </w:rPr>
        <w:t>Friday 26</w:t>
      </w:r>
      <w:r w:rsidR="0050693B" w:rsidRPr="0050693B">
        <w:rPr>
          <w:rFonts w:ascii="Open Sans" w:hAnsi="Open Sans" w:cs="Open Sans"/>
          <w:color w:val="365F91" w:themeColor="accent1" w:themeShade="BF"/>
          <w:sz w:val="24"/>
          <w:szCs w:val="24"/>
          <w:vertAlign w:val="superscript"/>
        </w:rPr>
        <w:t>th</w:t>
      </w:r>
      <w:r w:rsidR="001315E2" w:rsidRPr="00A74664">
        <w:rPr>
          <w:rFonts w:ascii="Open Sans" w:hAnsi="Open Sans" w:cs="Open Sans"/>
          <w:color w:val="365F91" w:themeColor="accent1" w:themeShade="BF"/>
          <w:sz w:val="24"/>
          <w:szCs w:val="24"/>
        </w:rPr>
        <w:t xml:space="preserve"> June. You can download an application form from our website </w:t>
      </w:r>
      <w:hyperlink r:id="rId10" w:history="1">
        <w:r w:rsidR="001315E2" w:rsidRPr="00A74664">
          <w:rPr>
            <w:rStyle w:val="Hyperlink"/>
            <w:rFonts w:ascii="Open Sans" w:hAnsi="Open Sans" w:cs="Open Sans"/>
            <w:color w:val="365F91" w:themeColor="accent1" w:themeShade="BF"/>
            <w:sz w:val="24"/>
            <w:szCs w:val="24"/>
          </w:rPr>
          <w:t>www.sudburycab.org.uk/vacancies</w:t>
        </w:r>
      </w:hyperlink>
      <w:r w:rsidR="001315E2" w:rsidRPr="00A74664">
        <w:rPr>
          <w:rFonts w:ascii="Open Sans" w:hAnsi="Open Sans" w:cs="Open Sans"/>
          <w:color w:val="365F91" w:themeColor="accent1" w:themeShade="BF"/>
          <w:sz w:val="24"/>
          <w:szCs w:val="24"/>
        </w:rPr>
        <w:t xml:space="preserve"> . Please return completed forms to </w:t>
      </w:r>
      <w:hyperlink r:id="rId11" w:history="1">
        <w:r w:rsidR="001315E2" w:rsidRPr="00A74664">
          <w:rPr>
            <w:rStyle w:val="Hyperlink"/>
            <w:rFonts w:ascii="Open Sans" w:hAnsi="Open Sans" w:cs="Open Sans"/>
            <w:color w:val="365F91" w:themeColor="accent1" w:themeShade="BF"/>
            <w:sz w:val="24"/>
            <w:szCs w:val="24"/>
          </w:rPr>
          <w:t>recruitment@sudburycab.org.uk</w:t>
        </w:r>
      </w:hyperlink>
      <w:r w:rsidR="001315E2" w:rsidRPr="00A74664">
        <w:rPr>
          <w:rFonts w:ascii="Open Sans" w:hAnsi="Open Sans" w:cs="Open Sans"/>
          <w:color w:val="365F91" w:themeColor="accent1" w:themeShade="BF"/>
          <w:sz w:val="24"/>
          <w:szCs w:val="24"/>
        </w:rPr>
        <w:t xml:space="preserve"> (Please note that we may close this vacancy early if we receive sufficient suitable applications.)</w:t>
      </w:r>
    </w:p>
    <w:p w14:paraId="1716AD48" w14:textId="2FCAC934" w:rsidR="00FA0F7B" w:rsidRPr="00A74664" w:rsidRDefault="00FA0F7B" w:rsidP="001315E2">
      <w:pPr>
        <w:spacing w:line="240" w:lineRule="auto"/>
        <w:rPr>
          <w:rFonts w:ascii="Open Sans" w:hAnsi="Open Sans" w:cs="Open Sans"/>
          <w:color w:val="365F91" w:themeColor="accent1" w:themeShade="BF"/>
          <w:sz w:val="24"/>
          <w:szCs w:val="24"/>
        </w:rPr>
      </w:pPr>
    </w:p>
    <w:p w14:paraId="5C0250DC"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b/>
          <w:color w:val="365F91" w:themeColor="accent1" w:themeShade="BF"/>
          <w:sz w:val="24"/>
          <w:szCs w:val="24"/>
        </w:rPr>
        <w:t>About the Role</w:t>
      </w:r>
    </w:p>
    <w:p w14:paraId="5FE5007B" w14:textId="0125D4F5" w:rsidR="001315E2"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xml:space="preserve">We are seeking an </w:t>
      </w:r>
      <w:proofErr w:type="spellStart"/>
      <w:r w:rsidRPr="00A74664">
        <w:rPr>
          <w:rFonts w:ascii="Open Sans" w:hAnsi="Open Sans" w:cs="Open Sans"/>
          <w:color w:val="365F91" w:themeColor="accent1" w:themeShade="BF"/>
          <w:sz w:val="24"/>
          <w:szCs w:val="24"/>
        </w:rPr>
        <w:t>organised</w:t>
      </w:r>
      <w:proofErr w:type="spellEnd"/>
      <w:r w:rsidRPr="00A74664">
        <w:rPr>
          <w:rFonts w:ascii="Open Sans" w:hAnsi="Open Sans" w:cs="Open Sans"/>
          <w:color w:val="365F91" w:themeColor="accent1" w:themeShade="BF"/>
          <w:sz w:val="24"/>
          <w:szCs w:val="24"/>
        </w:rPr>
        <w:t xml:space="preserve"> and detail-focused individual to provide high-quality administrative and governance support to our Board of Trustees and Chief Officer. This is a key role ensuring the smooth and effective operation of Trustee Board meetings, including the Annual General Meeting (AGM), and supporting the </w:t>
      </w:r>
      <w:proofErr w:type="spellStart"/>
      <w:r w:rsidRPr="00A74664">
        <w:rPr>
          <w:rFonts w:ascii="Open Sans" w:hAnsi="Open Sans" w:cs="Open Sans"/>
          <w:color w:val="365F91" w:themeColor="accent1" w:themeShade="BF"/>
          <w:sz w:val="24"/>
          <w:szCs w:val="24"/>
        </w:rPr>
        <w:t>organisation</w:t>
      </w:r>
      <w:proofErr w:type="spellEnd"/>
      <w:r w:rsidRPr="00A74664">
        <w:rPr>
          <w:rFonts w:ascii="Open Sans" w:hAnsi="Open Sans" w:cs="Open Sans"/>
          <w:color w:val="365F91" w:themeColor="accent1" w:themeShade="BF"/>
          <w:sz w:val="24"/>
          <w:szCs w:val="24"/>
        </w:rPr>
        <w:t xml:space="preserve"> to meet its legal and governance responsibilities.</w:t>
      </w:r>
      <w:r w:rsidRPr="00A74664">
        <w:rPr>
          <w:rFonts w:ascii="Open Sans" w:hAnsi="Open Sans" w:cs="Open Sans"/>
          <w:color w:val="365F91" w:themeColor="accent1" w:themeShade="BF"/>
          <w:sz w:val="24"/>
          <w:szCs w:val="24"/>
        </w:rPr>
        <w:br/>
      </w:r>
      <w:r w:rsidRPr="00A74664">
        <w:rPr>
          <w:rFonts w:ascii="Open Sans" w:hAnsi="Open Sans" w:cs="Open Sans"/>
          <w:color w:val="365F91" w:themeColor="accent1" w:themeShade="BF"/>
          <w:sz w:val="24"/>
          <w:szCs w:val="24"/>
        </w:rPr>
        <w:br/>
        <w:t>You will be responsible for coordinating meetings, preparing and distributing papers, taking accurate minutes, and maintaining statutory registers. You will also support compliance with Companies House and Charity Commission requirements, ensuring all filings and Trustee information are up to date.</w:t>
      </w:r>
      <w:r w:rsidRPr="00A74664">
        <w:rPr>
          <w:rFonts w:ascii="Open Sans" w:hAnsi="Open Sans" w:cs="Open Sans"/>
          <w:color w:val="365F91" w:themeColor="accent1" w:themeShade="BF"/>
          <w:sz w:val="24"/>
          <w:szCs w:val="24"/>
        </w:rPr>
        <w:br/>
      </w:r>
      <w:r w:rsidRPr="00A74664">
        <w:rPr>
          <w:rFonts w:ascii="Open Sans" w:hAnsi="Open Sans" w:cs="Open Sans"/>
          <w:color w:val="365F91" w:themeColor="accent1" w:themeShade="BF"/>
          <w:sz w:val="24"/>
          <w:szCs w:val="24"/>
        </w:rPr>
        <w:br/>
        <w:t xml:space="preserve">This role is well suited to someone with experience in governance administration who is highly </w:t>
      </w:r>
      <w:proofErr w:type="spellStart"/>
      <w:r w:rsidRPr="00A74664">
        <w:rPr>
          <w:rFonts w:ascii="Open Sans" w:hAnsi="Open Sans" w:cs="Open Sans"/>
          <w:color w:val="365F91" w:themeColor="accent1" w:themeShade="BF"/>
          <w:sz w:val="24"/>
          <w:szCs w:val="24"/>
        </w:rPr>
        <w:t>organised</w:t>
      </w:r>
      <w:proofErr w:type="spellEnd"/>
      <w:r w:rsidRPr="00A74664">
        <w:rPr>
          <w:rFonts w:ascii="Open Sans" w:hAnsi="Open Sans" w:cs="Open Sans"/>
          <w:color w:val="365F91" w:themeColor="accent1" w:themeShade="BF"/>
          <w:sz w:val="24"/>
          <w:szCs w:val="24"/>
        </w:rPr>
        <w:t>, discreet, and able to work collaboratively with senior stakeholders. The role typically requires around 4 hours per week, with flexibility in how these hours are worked. Additional hours may be required at key points in the year, particularly in the lead-up to the AGM</w:t>
      </w:r>
      <w:r w:rsidR="001315E2" w:rsidRPr="00A74664">
        <w:rPr>
          <w:rFonts w:ascii="Open Sans" w:hAnsi="Open Sans" w:cs="Open Sans"/>
          <w:color w:val="365F91" w:themeColor="accent1" w:themeShade="BF"/>
          <w:sz w:val="24"/>
          <w:szCs w:val="24"/>
        </w:rPr>
        <w:t>, which will be agreed with the Chief Officer</w:t>
      </w:r>
      <w:r w:rsidRPr="00A74664">
        <w:rPr>
          <w:rFonts w:ascii="Open Sans" w:hAnsi="Open Sans" w:cs="Open Sans"/>
          <w:color w:val="365F91" w:themeColor="accent1" w:themeShade="BF"/>
          <w:sz w:val="24"/>
          <w:szCs w:val="24"/>
        </w:rPr>
        <w:t>. Attendance in person is required for Board meetings.</w:t>
      </w:r>
    </w:p>
    <w:p w14:paraId="6F50527C" w14:textId="7C5F0D60"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b/>
          <w:color w:val="365F91" w:themeColor="accent1" w:themeShade="BF"/>
          <w:sz w:val="24"/>
          <w:szCs w:val="24"/>
        </w:rPr>
        <w:lastRenderedPageBreak/>
        <w:t>Key Responsibilities</w:t>
      </w:r>
      <w:r w:rsidR="00A74664">
        <w:rPr>
          <w:rFonts w:ascii="Open Sans" w:hAnsi="Open Sans" w:cs="Open Sans"/>
          <w:b/>
          <w:color w:val="365F91" w:themeColor="accent1" w:themeShade="BF"/>
          <w:sz w:val="24"/>
          <w:szCs w:val="24"/>
        </w:rPr>
        <w:t xml:space="preserve"> – Clerk to the Board of Trustees</w:t>
      </w:r>
    </w:p>
    <w:p w14:paraId="77795D26"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Manage the annual calendar of Trustee and Board meetings, including scheduling, invitations, venue bookings, and equipment</w:t>
      </w:r>
    </w:p>
    <w:p w14:paraId="05F76F9F"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Work with Co-Chairs to prepare meeting agendas</w:t>
      </w:r>
    </w:p>
    <w:p w14:paraId="0081E123"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Take accurate and detailed minutes and circulate draft minutes for approval</w:t>
      </w:r>
    </w:p>
    <w:p w14:paraId="11A69BF0"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Ensure meeting papers are prepared and circulated in advance</w:t>
      </w:r>
    </w:p>
    <w:p w14:paraId="3FB8FDB6"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Share agendas and relevant documents with external bodies where required</w:t>
      </w:r>
    </w:p>
    <w:p w14:paraId="36EA04F3"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Maintain Trustee records, including registers</w:t>
      </w:r>
    </w:p>
    <w:p w14:paraId="4ACCA78F"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Ensure Trustee documentation and records are kept up to date</w:t>
      </w:r>
    </w:p>
    <w:p w14:paraId="2844E527"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Monitor Trustee terms of office and support reappointments ahead of the AGM</w:t>
      </w:r>
    </w:p>
    <w:p w14:paraId="7617D897"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Complete and submit statutory filings to Companies House and the Charity Commission</w:t>
      </w:r>
    </w:p>
    <w:p w14:paraId="0BDD0761"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Ensure Trustee changes are recorded promptly</w:t>
      </w:r>
    </w:p>
    <w:p w14:paraId="3970C4B8"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b/>
          <w:color w:val="365F91" w:themeColor="accent1" w:themeShade="BF"/>
          <w:sz w:val="24"/>
          <w:szCs w:val="24"/>
        </w:rPr>
        <w:t>What We Offer</w:t>
      </w:r>
    </w:p>
    <w:p w14:paraId="50E968E9" w14:textId="5D755A90" w:rsidR="00171345" w:rsidRPr="0070479D" w:rsidRDefault="00171345" w:rsidP="00171345">
      <w:pPr>
        <w:pStyle w:val="ListBullet"/>
        <w:numPr>
          <w:ilvl w:val="0"/>
          <w:numId w:val="0"/>
        </w:numPr>
        <w:spacing w:after="120"/>
        <w:rPr>
          <w:sz w:val="24"/>
          <w:szCs w:val="24"/>
        </w:rPr>
      </w:pPr>
    </w:p>
    <w:p w14:paraId="256AA4EA" w14:textId="07506660" w:rsidR="00171345" w:rsidRPr="00171345" w:rsidRDefault="00171345" w:rsidP="00171345">
      <w:pPr>
        <w:pStyle w:val="ListBullet"/>
        <w:spacing w:after="120"/>
        <w:rPr>
          <w:rFonts w:ascii="Open Sans" w:hAnsi="Open Sans" w:cs="Open Sans"/>
          <w:color w:val="1F497D" w:themeColor="text2"/>
          <w:sz w:val="24"/>
          <w:szCs w:val="24"/>
        </w:rPr>
      </w:pPr>
      <w:r w:rsidRPr="00171345">
        <w:rPr>
          <w:rFonts w:ascii="Open Sans" w:hAnsi="Open Sans" w:cs="Open Sans"/>
          <w:color w:val="1F497D" w:themeColor="text2"/>
          <w:sz w:val="24"/>
          <w:szCs w:val="24"/>
        </w:rPr>
        <w:t xml:space="preserve">Flexible working </w:t>
      </w:r>
      <w:r w:rsidR="00016D3E">
        <w:rPr>
          <w:rFonts w:ascii="Open Sans" w:hAnsi="Open Sans" w:cs="Open Sans"/>
          <w:color w:val="1F497D" w:themeColor="text2"/>
          <w:sz w:val="24"/>
          <w:szCs w:val="24"/>
        </w:rPr>
        <w:t>(including some home working)</w:t>
      </w:r>
    </w:p>
    <w:p w14:paraId="07455890" w14:textId="77777777" w:rsidR="00171345" w:rsidRPr="00171345" w:rsidRDefault="00171345" w:rsidP="00171345">
      <w:pPr>
        <w:pStyle w:val="ListBullet"/>
        <w:spacing w:after="120"/>
        <w:rPr>
          <w:rFonts w:ascii="Open Sans" w:hAnsi="Open Sans" w:cs="Open Sans"/>
          <w:color w:val="1F497D" w:themeColor="text2"/>
          <w:sz w:val="24"/>
          <w:szCs w:val="24"/>
        </w:rPr>
      </w:pPr>
      <w:r w:rsidRPr="00171345">
        <w:rPr>
          <w:rFonts w:ascii="Open Sans" w:hAnsi="Open Sans" w:cs="Open Sans"/>
          <w:color w:val="1F497D" w:themeColor="text2"/>
          <w:sz w:val="24"/>
          <w:szCs w:val="24"/>
        </w:rPr>
        <w:t>Supportive and friendly environment</w:t>
      </w:r>
    </w:p>
    <w:p w14:paraId="0A633E98" w14:textId="77777777" w:rsidR="00171345" w:rsidRPr="00171345" w:rsidRDefault="00171345" w:rsidP="00171345">
      <w:pPr>
        <w:pStyle w:val="ListBullet"/>
        <w:spacing w:after="120"/>
        <w:rPr>
          <w:rFonts w:ascii="Open Sans" w:hAnsi="Open Sans" w:cs="Open Sans"/>
          <w:color w:val="1F497D" w:themeColor="text2"/>
          <w:sz w:val="24"/>
          <w:szCs w:val="24"/>
        </w:rPr>
      </w:pPr>
      <w:r w:rsidRPr="00171345">
        <w:rPr>
          <w:rFonts w:ascii="Open Sans" w:hAnsi="Open Sans" w:cs="Open Sans"/>
          <w:color w:val="1F497D" w:themeColor="text2"/>
          <w:sz w:val="24"/>
          <w:szCs w:val="24"/>
        </w:rPr>
        <w:t>25 days annual leave (pro rata) plus bank holidays and Christmas closure</w:t>
      </w:r>
    </w:p>
    <w:p w14:paraId="1C64FC20" w14:textId="77777777" w:rsidR="00171345" w:rsidRPr="00171345" w:rsidRDefault="00171345" w:rsidP="00171345">
      <w:pPr>
        <w:pStyle w:val="ListBullet"/>
        <w:spacing w:after="120"/>
        <w:rPr>
          <w:rFonts w:ascii="Open Sans" w:hAnsi="Open Sans" w:cs="Open Sans"/>
          <w:color w:val="1F497D" w:themeColor="text2"/>
          <w:sz w:val="24"/>
          <w:szCs w:val="24"/>
        </w:rPr>
      </w:pPr>
      <w:r w:rsidRPr="00171345">
        <w:rPr>
          <w:rFonts w:ascii="Open Sans" w:hAnsi="Open Sans" w:cs="Open Sans"/>
          <w:color w:val="1F497D" w:themeColor="text2"/>
          <w:sz w:val="24"/>
          <w:szCs w:val="24"/>
        </w:rPr>
        <w:t>Pension contribution (6%)</w:t>
      </w:r>
    </w:p>
    <w:p w14:paraId="3D509210" w14:textId="658C3A2D" w:rsidR="00FA0F7B" w:rsidRPr="00171345" w:rsidRDefault="00171345" w:rsidP="00171345">
      <w:pPr>
        <w:pStyle w:val="ListBullet"/>
        <w:spacing w:after="120" w:line="240" w:lineRule="auto"/>
        <w:rPr>
          <w:rFonts w:ascii="Open Sans" w:hAnsi="Open Sans" w:cs="Open Sans"/>
          <w:color w:val="365F91" w:themeColor="accent1" w:themeShade="BF"/>
          <w:sz w:val="24"/>
          <w:szCs w:val="24"/>
        </w:rPr>
      </w:pPr>
      <w:r w:rsidRPr="00171345">
        <w:rPr>
          <w:rFonts w:ascii="Open Sans" w:hAnsi="Open Sans" w:cs="Open Sans"/>
          <w:color w:val="1F497D" w:themeColor="text2"/>
          <w:sz w:val="24"/>
          <w:szCs w:val="24"/>
        </w:rPr>
        <w:t>Training and development opportunities</w:t>
      </w:r>
    </w:p>
    <w:p w14:paraId="3852755E" w14:textId="7FABBF85" w:rsidR="00171345" w:rsidRPr="00171345" w:rsidRDefault="00CA0A12" w:rsidP="00171345">
      <w:pPr>
        <w:pStyle w:val="ListBullet"/>
        <w:rPr>
          <w:rFonts w:ascii="Open Sans" w:hAnsi="Open Sans" w:cs="Open Sans"/>
          <w:color w:val="1F497D" w:themeColor="text2"/>
          <w:sz w:val="24"/>
          <w:szCs w:val="24"/>
        </w:rPr>
      </w:pPr>
      <w:r>
        <w:rPr>
          <w:rFonts w:ascii="Open Sans" w:hAnsi="Open Sans" w:cs="Open Sans"/>
          <w:color w:val="1F497D" w:themeColor="text2"/>
          <w:sz w:val="24"/>
          <w:szCs w:val="24"/>
        </w:rPr>
        <w:t>Addition</w:t>
      </w:r>
      <w:r w:rsidR="00171345" w:rsidRPr="00171345">
        <w:rPr>
          <w:rFonts w:ascii="Open Sans" w:hAnsi="Open Sans" w:cs="Open Sans"/>
          <w:color w:val="1F497D" w:themeColor="text2"/>
          <w:sz w:val="24"/>
          <w:szCs w:val="24"/>
        </w:rPr>
        <w:t>al opportunity to increase hours through a finance-related role (subject to skills and experience)</w:t>
      </w:r>
    </w:p>
    <w:p w14:paraId="29A17256" w14:textId="77777777" w:rsidR="001315E2" w:rsidRPr="00A74664" w:rsidRDefault="001315E2">
      <w:pPr>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br w:type="page"/>
      </w:r>
    </w:p>
    <w:p w14:paraId="42D6C92A"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b/>
          <w:color w:val="365F91" w:themeColor="accent1" w:themeShade="BF"/>
          <w:sz w:val="24"/>
          <w:szCs w:val="24"/>
        </w:rPr>
        <w:lastRenderedPageBreak/>
        <w:t>Person Specification – Clerk to the Board of Trustees</w:t>
      </w:r>
    </w:p>
    <w:p w14:paraId="44F032F0"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b/>
          <w:color w:val="365F91" w:themeColor="accent1" w:themeShade="BF"/>
          <w:sz w:val="24"/>
          <w:szCs w:val="24"/>
        </w:rPr>
        <w:t>Essential Experience &amp; Knowledge</w:t>
      </w:r>
    </w:p>
    <w:p w14:paraId="4DDF037E"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Experience in a similar governance or administrative role</w:t>
      </w:r>
    </w:p>
    <w:p w14:paraId="7F95DE99"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Experience supporting meetings, including agenda preparation and minute-taking</w:t>
      </w:r>
    </w:p>
    <w:p w14:paraId="33898E04"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Experience working with senior stakeholders such as Trustees or senior managers</w:t>
      </w:r>
    </w:p>
    <w:p w14:paraId="3F1A01CD"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xml:space="preserve">• Understanding of governance requirements for charities or similar </w:t>
      </w:r>
      <w:proofErr w:type="spellStart"/>
      <w:r w:rsidRPr="00A74664">
        <w:rPr>
          <w:rFonts w:ascii="Open Sans" w:hAnsi="Open Sans" w:cs="Open Sans"/>
          <w:color w:val="365F91" w:themeColor="accent1" w:themeShade="BF"/>
          <w:sz w:val="24"/>
          <w:szCs w:val="24"/>
        </w:rPr>
        <w:t>organisations</w:t>
      </w:r>
      <w:proofErr w:type="spellEnd"/>
    </w:p>
    <w:p w14:paraId="63C3E0D9"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b/>
          <w:color w:val="365F91" w:themeColor="accent1" w:themeShade="BF"/>
          <w:sz w:val="24"/>
          <w:szCs w:val="24"/>
        </w:rPr>
        <w:t>Essential Skills &amp; Abilities</w:t>
      </w:r>
    </w:p>
    <w:p w14:paraId="6C95DAB1"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Excellent written and verbal communication skills</w:t>
      </w:r>
    </w:p>
    <w:p w14:paraId="4BF3ADCA"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xml:space="preserve">• Strong </w:t>
      </w:r>
      <w:proofErr w:type="spellStart"/>
      <w:r w:rsidRPr="00A74664">
        <w:rPr>
          <w:rFonts w:ascii="Open Sans" w:hAnsi="Open Sans" w:cs="Open Sans"/>
          <w:color w:val="365F91" w:themeColor="accent1" w:themeShade="BF"/>
          <w:sz w:val="24"/>
          <w:szCs w:val="24"/>
        </w:rPr>
        <w:t>organisational</w:t>
      </w:r>
      <w:proofErr w:type="spellEnd"/>
      <w:r w:rsidRPr="00A74664">
        <w:rPr>
          <w:rFonts w:ascii="Open Sans" w:hAnsi="Open Sans" w:cs="Open Sans"/>
          <w:color w:val="365F91" w:themeColor="accent1" w:themeShade="BF"/>
          <w:sz w:val="24"/>
          <w:szCs w:val="24"/>
        </w:rPr>
        <w:t xml:space="preserve"> skills and attention to detail</w:t>
      </w:r>
    </w:p>
    <w:p w14:paraId="5E5EF107"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Ability to manage multiple tasks and meet deadlines</w:t>
      </w:r>
    </w:p>
    <w:p w14:paraId="7B5180CA"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Ability to handle confidential information with discretion</w:t>
      </w:r>
    </w:p>
    <w:p w14:paraId="00C6D121"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Good IT skills, including Microsoft 365</w:t>
      </w:r>
    </w:p>
    <w:p w14:paraId="66518952"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Ability to work independently and as part of a team</w:t>
      </w:r>
    </w:p>
    <w:p w14:paraId="610E00AE"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b/>
          <w:color w:val="365F91" w:themeColor="accent1" w:themeShade="BF"/>
          <w:sz w:val="24"/>
          <w:szCs w:val="24"/>
        </w:rPr>
        <w:t>Desirable</w:t>
      </w:r>
    </w:p>
    <w:p w14:paraId="713CFC1C"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Experience of submitting statutory returns (Companies House, Charity Commission)</w:t>
      </w:r>
    </w:p>
    <w:p w14:paraId="4BA0A366"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Knowledge of charity governance and compliance requirements</w:t>
      </w:r>
    </w:p>
    <w:p w14:paraId="6CA9692D" w14:textId="77777777" w:rsidR="00FA0F7B" w:rsidRPr="00A74664" w:rsidRDefault="00000000" w:rsidP="001315E2">
      <w:pPr>
        <w:spacing w:line="240" w:lineRule="auto"/>
        <w:rPr>
          <w:rFonts w:ascii="Open Sans" w:hAnsi="Open Sans" w:cs="Open Sans"/>
          <w:color w:val="365F91" w:themeColor="accent1" w:themeShade="BF"/>
          <w:sz w:val="24"/>
          <w:szCs w:val="24"/>
        </w:rPr>
      </w:pPr>
      <w:r w:rsidRPr="00A74664">
        <w:rPr>
          <w:rFonts w:ascii="Open Sans" w:hAnsi="Open Sans" w:cs="Open Sans"/>
          <w:color w:val="365F91" w:themeColor="accent1" w:themeShade="BF"/>
          <w:sz w:val="24"/>
          <w:szCs w:val="24"/>
        </w:rPr>
        <w:t>• Experience using document-sharing systems such as SharePoint</w:t>
      </w:r>
    </w:p>
    <w:sectPr w:rsidR="00FA0F7B" w:rsidRPr="00A7466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BC921AE"/>
    <w:multiLevelType w:val="hybridMultilevel"/>
    <w:tmpl w:val="90E4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12114C"/>
    <w:multiLevelType w:val="hybridMultilevel"/>
    <w:tmpl w:val="4E2C659E"/>
    <w:lvl w:ilvl="0" w:tplc="A212FB90">
      <w:numFmt w:val="bullet"/>
      <w:lvlText w:val="•"/>
      <w:lvlJc w:val="left"/>
      <w:pPr>
        <w:ind w:left="720" w:hanging="360"/>
      </w:pPr>
      <w:rPr>
        <w:rFonts w:ascii="Open Sans" w:eastAsiaTheme="min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431794">
    <w:abstractNumId w:val="8"/>
  </w:num>
  <w:num w:numId="2" w16cid:durableId="800657986">
    <w:abstractNumId w:val="6"/>
  </w:num>
  <w:num w:numId="3" w16cid:durableId="1640378165">
    <w:abstractNumId w:val="5"/>
  </w:num>
  <w:num w:numId="4" w16cid:durableId="1504852119">
    <w:abstractNumId w:val="4"/>
  </w:num>
  <w:num w:numId="5" w16cid:durableId="2085182199">
    <w:abstractNumId w:val="7"/>
  </w:num>
  <w:num w:numId="6" w16cid:durableId="1346512806">
    <w:abstractNumId w:val="3"/>
  </w:num>
  <w:num w:numId="7" w16cid:durableId="1064378989">
    <w:abstractNumId w:val="2"/>
  </w:num>
  <w:num w:numId="8" w16cid:durableId="1723745987">
    <w:abstractNumId w:val="1"/>
  </w:num>
  <w:num w:numId="9" w16cid:durableId="1553349397">
    <w:abstractNumId w:val="0"/>
  </w:num>
  <w:num w:numId="10" w16cid:durableId="1688022203">
    <w:abstractNumId w:val="9"/>
  </w:num>
  <w:num w:numId="11" w16cid:durableId="17414429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D3E"/>
    <w:rsid w:val="00034616"/>
    <w:rsid w:val="0006063C"/>
    <w:rsid w:val="001315E2"/>
    <w:rsid w:val="0015074B"/>
    <w:rsid w:val="00171345"/>
    <w:rsid w:val="002271E9"/>
    <w:rsid w:val="00257B62"/>
    <w:rsid w:val="0029639D"/>
    <w:rsid w:val="00317FF2"/>
    <w:rsid w:val="00326F90"/>
    <w:rsid w:val="00457F21"/>
    <w:rsid w:val="0050693B"/>
    <w:rsid w:val="00572393"/>
    <w:rsid w:val="00592D3F"/>
    <w:rsid w:val="008A37F9"/>
    <w:rsid w:val="008C55E1"/>
    <w:rsid w:val="009D734D"/>
    <w:rsid w:val="00A74664"/>
    <w:rsid w:val="00AA1D8D"/>
    <w:rsid w:val="00B47730"/>
    <w:rsid w:val="00C5320E"/>
    <w:rsid w:val="00CA0A12"/>
    <w:rsid w:val="00CB0664"/>
    <w:rsid w:val="00D71774"/>
    <w:rsid w:val="00E05130"/>
    <w:rsid w:val="00FA0F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2AADDB"/>
  <w14:defaultImageDpi w14:val="300"/>
  <w15:docId w15:val="{9B291A33-E0BA-46A6-9B8C-35B4709E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315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udburycab.org.uk" TargetMode="External"/><Relationship Id="rId5" Type="http://schemas.openxmlformats.org/officeDocument/2006/relationships/numbering" Target="numbering.xml"/><Relationship Id="rId10" Type="http://schemas.openxmlformats.org/officeDocument/2006/relationships/hyperlink" Target="http://www.sudburycab.org.uk/vacancies"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BF73C131D6144A53090D869340076" ma:contentTypeVersion="17" ma:contentTypeDescription="Create a new document." ma:contentTypeScope="" ma:versionID="35170287af98b1fdccc677065005bc52">
  <xsd:schema xmlns:xsd="http://www.w3.org/2001/XMLSchema" xmlns:xs="http://www.w3.org/2001/XMLSchema" xmlns:p="http://schemas.microsoft.com/office/2006/metadata/properties" xmlns:ns3="0dd290a6-13e0-4f31-b54c-2b5743415870" xmlns:ns4="151c7942-94a6-4af3-b599-64e27a064fa6" targetNamespace="http://schemas.microsoft.com/office/2006/metadata/properties" ma:root="true" ma:fieldsID="cd36dee3ed07749aec98d3f9e26f2564" ns3:_="" ns4:_="">
    <xsd:import namespace="0dd290a6-13e0-4f31-b54c-2b5743415870"/>
    <xsd:import namespace="151c7942-94a6-4af3-b599-64e27a064f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290a6-13e0-4f31-b54c-2b5743415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c7942-94a6-4af3-b599-64e27a064f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0dd290a6-13e0-4f31-b54c-2b57434158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B0691-1C77-4AC4-91D4-BFFB3D654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290a6-13e0-4f31-b54c-2b5743415870"/>
    <ds:schemaRef ds:uri="151c7942-94a6-4af3-b599-64e27a06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EB1BA686-8CCA-41B2-97DD-A385D628C55B}">
  <ds:schemaRefs>
    <ds:schemaRef ds:uri="http://schemas.microsoft.com/office/2006/metadata/properties"/>
    <ds:schemaRef ds:uri="http://schemas.microsoft.com/office/infopath/2007/PartnerControls"/>
    <ds:schemaRef ds:uri="0dd290a6-13e0-4f31-b54c-2b5743415870"/>
  </ds:schemaRefs>
</ds:datastoreItem>
</file>

<file path=customXml/itemProps4.xml><?xml version="1.0" encoding="utf-8"?>
<ds:datastoreItem xmlns:ds="http://schemas.openxmlformats.org/officeDocument/2006/customXml" ds:itemID="{FD99AECF-382E-4D45-923A-751A04AD3F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Mason</dc:creator>
  <cp:keywords/>
  <dc:description>generated by python-docx</dc:description>
  <cp:lastModifiedBy>Jess Mason</cp:lastModifiedBy>
  <cp:revision>10</cp:revision>
  <dcterms:created xsi:type="dcterms:W3CDTF">2026-06-09T14:56:00Z</dcterms:created>
  <dcterms:modified xsi:type="dcterms:W3CDTF">2026-06-15T08:19:00Z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0x010100A6ABF73C131D6144A53090D869340076</vt:lpwstr>
  </property>
</Properties>
</file>